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C6C" w:rsidRDefault="00CA0CA8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bookmarkStart w:id="0" w:name="_Ref494746248"/>
      <w:r>
        <w:rPr>
          <w:rFonts w:cs="Arial"/>
          <w:i w:val="0"/>
          <w:sz w:val="22"/>
          <w:szCs w:val="22"/>
          <w:lang w:eastAsia="zh-CN"/>
        </w:rPr>
        <w:t>3GPP TSG RAN Meeting #94-e</w:t>
      </w:r>
      <w:r>
        <w:rPr>
          <w:rFonts w:cs="Arial"/>
          <w:i w:val="0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 w:hint="eastAsia"/>
          <w:i w:val="0"/>
          <w:sz w:val="22"/>
          <w:szCs w:val="22"/>
          <w:lang w:eastAsia="zh-CN"/>
        </w:rPr>
        <w:t>RP-213394</w:t>
      </w:r>
    </w:p>
    <w:p w:rsidR="00932C6C" w:rsidRDefault="00CA0CA8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r>
        <w:rPr>
          <w:rFonts w:cs="Arial"/>
          <w:i w:val="0"/>
          <w:sz w:val="22"/>
          <w:szCs w:val="22"/>
          <w:lang w:eastAsia="zh-CN"/>
        </w:rPr>
        <w:t>Electronic Meeting, December 6 - 17, 2021</w:t>
      </w:r>
    </w:p>
    <w:p w:rsidR="00932C6C" w:rsidRDefault="00932C6C">
      <w:pPr>
        <w:pStyle w:val="ad"/>
        <w:jc w:val="both"/>
      </w:pPr>
    </w:p>
    <w:p w:rsidR="00932C6C" w:rsidRDefault="00CA0CA8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>
        <w:rPr>
          <w:rFonts w:ascii="Arial" w:hAnsi="Arial" w:hint="eastAsia"/>
          <w:b/>
        </w:rPr>
        <w:t xml:space="preserve">, </w:t>
      </w:r>
    </w:p>
    <w:p w:rsidR="00932C6C" w:rsidRDefault="00CA0CA8">
      <w:pPr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On Uplink Enhancements for 5G Advanced</w:t>
      </w:r>
    </w:p>
    <w:p w:rsidR="00932C6C" w:rsidRDefault="00CA0CA8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8A.1</w:t>
      </w:r>
    </w:p>
    <w:p w:rsidR="00932C6C" w:rsidRDefault="00CA0CA8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</w:t>
      </w:r>
    </w:p>
    <w:p w:rsidR="00932C6C" w:rsidRDefault="00CA0CA8">
      <w:pPr>
        <w:pStyle w:val="1"/>
      </w:pPr>
      <w:bookmarkStart w:id="2" w:name="_Ref4817"/>
      <w:r>
        <w:t>Introduction</w:t>
      </w:r>
      <w:bookmarkEnd w:id="0"/>
      <w:bookmarkEnd w:id="2"/>
    </w:p>
    <w:p w:rsidR="00932C6C" w:rsidRDefault="00CA0CA8">
      <w:r>
        <w:rPr>
          <w:rFonts w:hint="eastAsia"/>
        </w:rPr>
        <w:t>A</w:t>
      </w:r>
      <w:r>
        <w:t>ccording to the discussion in RAN#93-e</w:t>
      </w:r>
      <w:r>
        <w:t xml:space="preserve"> and the October email discussion</w:t>
      </w:r>
      <w:r>
        <w:rPr>
          <w:rFonts w:hint="eastAsia"/>
        </w:rPr>
        <w:t>, a</w:t>
      </w:r>
      <w:r>
        <w:t>ll companies agree that “UL enhancement” can be considered as one of the key topics for Rel-18</w:t>
      </w:r>
      <w:r>
        <w:rPr>
          <w:rFonts w:hint="eastAsia"/>
        </w:rPr>
        <w:t xml:space="preserve"> [1</w:t>
      </w:r>
      <w:proofErr w:type="gramStart"/>
      <w:r>
        <w:rPr>
          <w:rFonts w:hint="eastAsia"/>
        </w:rPr>
        <w:t>][</w:t>
      </w:r>
      <w:proofErr w:type="gramEnd"/>
      <w:r>
        <w:rPr>
          <w:rFonts w:hint="eastAsia"/>
        </w:rPr>
        <w:t>2], with the draft WID provided in [3]</w:t>
      </w:r>
      <w:r>
        <w:t>. It’s a common understanding that ‘UL enhancements’ includes both UL capacity enha</w:t>
      </w:r>
      <w:r>
        <w:t>ncements and UL coverage enhancements</w:t>
      </w:r>
      <w:r>
        <w:rPr>
          <w:rFonts w:hint="eastAsia"/>
        </w:rPr>
        <w:t>. But s</w:t>
      </w:r>
      <w:r>
        <w:t xml:space="preserve">tarting from October email discussion, MIMO related UL capacity enhancements are discussed separately under topic ‘MIMO Evolution for Downlink and Uplink’. </w:t>
      </w:r>
    </w:p>
    <w:p w:rsidR="00932C6C" w:rsidRDefault="00CA0CA8">
      <w:r>
        <w:rPr>
          <w:rFonts w:hint="eastAsia"/>
        </w:rPr>
        <w:t>In this contribution, our views on Rel-18 UL enhancemen</w:t>
      </w:r>
      <w:r>
        <w:rPr>
          <w:rFonts w:hint="eastAsia"/>
        </w:rPr>
        <w:t xml:space="preserve">ts except for UL MIMO are provided. </w:t>
      </w:r>
    </w:p>
    <w:p w:rsidR="00932C6C" w:rsidRDefault="00CA0CA8">
      <w:pPr>
        <w:pStyle w:val="1"/>
      </w:pPr>
      <w:r>
        <w:rPr>
          <w:rFonts w:hint="eastAsia"/>
          <w:lang w:val="en-US"/>
        </w:rPr>
        <w:t>Revisions of the draft objective</w:t>
      </w:r>
    </w:p>
    <w:p w:rsidR="00932C6C" w:rsidRDefault="00CA0CA8">
      <w:r>
        <w:rPr>
          <w:rFonts w:hint="eastAsia"/>
        </w:rPr>
        <w:t xml:space="preserve">In this section, our proposed modifications on the objective of the draft WID are provided with revision marks as follows. In section 3, our detailed reasoning of such modifications are </w:t>
      </w:r>
      <w:r>
        <w:rPr>
          <w:rFonts w:hint="eastAsia"/>
        </w:rPr>
        <w:t xml:space="preserve">given. 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2C6C">
        <w:tc>
          <w:tcPr>
            <w:tcW w:w="9854" w:type="dxa"/>
          </w:tcPr>
          <w:p w:rsidR="00932C6C" w:rsidRDefault="00CA0CA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4</w:t>
            </w:r>
            <w:r>
              <w:rPr>
                <w:rFonts w:ascii="Arial" w:hAnsi="Arial" w:cs="Arial"/>
                <w:sz w:val="32"/>
                <w:szCs w:val="32"/>
              </w:rPr>
              <w:tab/>
              <w:t>Objective</w:t>
            </w:r>
          </w:p>
          <w:p w:rsidR="00932C6C" w:rsidRDefault="00CA0CA8">
            <w:pPr>
              <w:pStyle w:val="3"/>
              <w:numPr>
                <w:ilvl w:val="2"/>
                <w:numId w:val="0"/>
              </w:numPr>
              <w:outlineLvl w:val="2"/>
              <w:rPr>
                <w:color w:val="0000FF"/>
              </w:rPr>
            </w:pPr>
            <w:r>
              <w:rPr>
                <w:color w:val="0000FF"/>
              </w:rPr>
              <w:t>4.1</w:t>
            </w:r>
            <w:r>
              <w:rPr>
                <w:color w:val="0000FF"/>
              </w:rPr>
              <w:tab/>
              <w:t>Objective of SI or Core part WI or Testing part WI</w:t>
            </w:r>
          </w:p>
          <w:p w:rsidR="00932C6C" w:rsidRDefault="00CA0CA8">
            <w:pPr>
              <w:rPr>
                <w:iCs/>
              </w:rPr>
            </w:pPr>
            <w:r>
              <w:rPr>
                <w:iCs/>
              </w:rPr>
              <w:t xml:space="preserve">The objective of this work item is to specify NR UL enhancements such as for PRACH coverage,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for power domain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 xml:space="preserve">, </w:t>
            </w:r>
            <w:r>
              <w:rPr>
                <w:iCs/>
                <w:strike/>
                <w:color w:val="FF0000"/>
              </w:rPr>
              <w:t>[for multi-carrier UL operation]</w:t>
            </w:r>
            <w:r>
              <w:rPr>
                <w:iCs/>
              </w:rPr>
              <w:t xml:space="preserve">,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for DFTS-OFDM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 xml:space="preserve">, </w:t>
            </w:r>
            <w:r>
              <w:rPr>
                <w:iCs/>
                <w:strike/>
                <w:color w:val="FF0000"/>
              </w:rPr>
              <w:t xml:space="preserve">[for UL dense deployment] </w:t>
            </w:r>
            <w:r>
              <w:rPr>
                <w:iCs/>
              </w:rPr>
              <w:t xml:space="preserve">and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for PUCCH coverage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 xml:space="preserve">. </w:t>
            </w:r>
          </w:p>
          <w:p w:rsidR="00932C6C" w:rsidRDefault="00CA0CA8">
            <w:pPr>
              <w:rPr>
                <w:iCs/>
              </w:rPr>
            </w:pPr>
            <w:r>
              <w:rPr>
                <w:iCs/>
              </w:rPr>
              <w:t>The detailed objectives of the work item are as follows:</w:t>
            </w:r>
          </w:p>
          <w:p w:rsidR="00932C6C" w:rsidRDefault="00CA0CA8">
            <w:pPr>
              <w:numPr>
                <w:ilvl w:val="0"/>
                <w:numId w:val="10"/>
              </w:numPr>
              <w:rPr>
                <w:iCs/>
              </w:rPr>
            </w:pPr>
            <w:r>
              <w:rPr>
                <w:rFonts w:hint="eastAsia"/>
                <w:iCs/>
              </w:rPr>
              <w:t>S</w:t>
            </w:r>
            <w:r>
              <w:rPr>
                <w:iCs/>
              </w:rPr>
              <w:t>pecify following PRACH coverage enhancements (RAN1, RAN2)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</w:rPr>
              <w:t xml:space="preserve">Multiple PRACH transmissions with same beams targeting 4-step RACH </w:t>
            </w:r>
            <w:r>
              <w:rPr>
                <w:iCs/>
                <w:strike/>
                <w:color w:val="FF0000"/>
              </w:rPr>
              <w:t>[and 2-step RACH]</w:t>
            </w:r>
            <w:r>
              <w:rPr>
                <w:iCs/>
              </w:rPr>
              <w:t xml:space="preserve"> pr</w:t>
            </w:r>
            <w:r>
              <w:rPr>
                <w:iCs/>
              </w:rPr>
              <w:t>ocedures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[Study, and if justified, s</w:t>
            </w:r>
            <w:r>
              <w:rPr>
                <w:iCs/>
                <w:strike/>
                <w:color w:val="FF0000"/>
              </w:rPr>
              <w:t>pecify</w:t>
            </w:r>
            <w:r>
              <w:rPr>
                <w:iCs/>
              </w:rPr>
              <w:t xml:space="preserve"> </w:t>
            </w:r>
            <w:r>
              <w:rPr>
                <w:iCs/>
                <w:color w:val="FF0000"/>
                <w:u w:val="single"/>
              </w:rPr>
              <w:t xml:space="preserve">Multiple </w:t>
            </w:r>
            <w:r>
              <w:rPr>
                <w:iCs/>
              </w:rPr>
              <w:t xml:space="preserve">PRACH transmissions with different beams targeting 4-step RACH </w:t>
            </w:r>
            <w:r>
              <w:rPr>
                <w:iCs/>
                <w:strike/>
                <w:color w:val="FF0000"/>
              </w:rPr>
              <w:t>[and 2-step RACH]</w:t>
            </w:r>
            <w:r>
              <w:rPr>
                <w:iCs/>
              </w:rPr>
              <w:t xml:space="preserve"> procedures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</w:rPr>
              <w:t>Note: The enhancements of PRACH are targeting for FR2, which can also apply to FR1 when applicable.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</w:rPr>
              <w:t xml:space="preserve">Note: The enhancements of PRACH are </w:t>
            </w:r>
            <w:r>
              <w:rPr>
                <w:iCs/>
                <w:strike/>
                <w:color w:val="FF0000"/>
              </w:rPr>
              <w:t>[format-agnostic and]</w:t>
            </w:r>
            <w:r>
              <w:rPr>
                <w:iCs/>
              </w:rPr>
              <w:t xml:space="preserve"> targeting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for PRACH format B4, which can also apply to other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 xml:space="preserve"> short PUCCH formats when applicable.</w:t>
            </w:r>
          </w:p>
          <w:p w:rsidR="00932C6C" w:rsidRDefault="00932C6C">
            <w:pPr>
              <w:rPr>
                <w:iCs/>
              </w:rPr>
            </w:pPr>
          </w:p>
          <w:p w:rsidR="00932C6C" w:rsidRDefault="00CA0CA8">
            <w:pPr>
              <w:numPr>
                <w:ilvl w:val="0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Study and if necessary specify following power domain enhancements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Enhancements to realize dyn</w:t>
            </w:r>
            <w:r>
              <w:rPr>
                <w:iCs/>
              </w:rPr>
              <w:t>amic power aggregation based on Rel-17 RAN4 work on “Increasing UE power high limit for CA and DC”, with checking relevant regulations (</w:t>
            </w:r>
            <w:r>
              <w:rPr>
                <w:iCs/>
                <w:strike/>
                <w:color w:val="FF0000"/>
              </w:rPr>
              <w:t xml:space="preserve">[RAN1,] </w:t>
            </w:r>
            <w:r>
              <w:rPr>
                <w:iCs/>
              </w:rPr>
              <w:t>RAN4)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2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Note: The study can start after RAN4 work on “Increasing UE power high limit for CA and DC” is done depe</w:t>
            </w:r>
            <w:r>
              <w:rPr>
                <w:iCs/>
              </w:rPr>
              <w:t>nding on conclusions from RAN4.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 xml:space="preserve">Enhancements to reduce MPR/PAR, including </w:t>
            </w:r>
            <w:r>
              <w:rPr>
                <w:iCs/>
                <w:strike/>
                <w:color w:val="FF0000"/>
              </w:rPr>
              <w:t>new transmission mechanism such as</w:t>
            </w:r>
            <w:r>
              <w:rPr>
                <w:iCs/>
              </w:rPr>
              <w:t xml:space="preserve"> spectrum shaping,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reduced spectrum utilization with relaxed requirements on channel filtering,</w:t>
            </w:r>
            <w:r>
              <w:rPr>
                <w:iCs/>
                <w:strike/>
                <w:color w:val="FF0000"/>
              </w:rPr>
              <w:t>] [</w:t>
            </w:r>
            <w:r>
              <w:rPr>
                <w:iCs/>
              </w:rPr>
              <w:t>and potential adjustments to MPR and test toler</w:t>
            </w:r>
            <w:r>
              <w:rPr>
                <w:iCs/>
              </w:rPr>
              <w:t>ance relations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 xml:space="preserve"> (RAN4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, RAN1</w:t>
            </w:r>
            <w:r>
              <w:rPr>
                <w:iCs/>
                <w:strike/>
                <w:color w:val="FF0000"/>
              </w:rPr>
              <w:t>]</w:t>
            </w:r>
            <w:r>
              <w:rPr>
                <w:iCs/>
              </w:rPr>
              <w:t>)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932C6C">
            <w:pPr>
              <w:rPr>
                <w:iCs/>
              </w:rPr>
            </w:pPr>
          </w:p>
          <w:p w:rsidR="00932C6C" w:rsidRDefault="00CA0CA8">
            <w:pPr>
              <w:numPr>
                <w:ilvl w:val="0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[Study and if necessary specify following enhancements for multi-carrier UL operation]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lastRenderedPageBreak/>
              <w:t xml:space="preserve">[UL </w:t>
            </w:r>
            <w:proofErr w:type="spellStart"/>
            <w:r>
              <w:rPr>
                <w:iCs/>
                <w:strike/>
                <w:color w:val="FF0000"/>
              </w:rPr>
              <w:t>Tx</w:t>
            </w:r>
            <w:proofErr w:type="spellEnd"/>
            <w:r>
              <w:rPr>
                <w:iCs/>
                <w:strike/>
                <w:color w:val="FF0000"/>
              </w:rPr>
              <w:t xml:space="preserve"> switching schemes across [more than 2] bands with restriction of 2 </w:t>
            </w:r>
            <w:proofErr w:type="spellStart"/>
            <w:r>
              <w:rPr>
                <w:iCs/>
                <w:strike/>
                <w:color w:val="FF0000"/>
              </w:rPr>
              <w:t>Tx</w:t>
            </w:r>
            <w:proofErr w:type="spellEnd"/>
            <w:r>
              <w:rPr>
                <w:iCs/>
                <w:strike/>
                <w:color w:val="FF0000"/>
              </w:rPr>
              <w:t xml:space="preserve"> simultaneous transmission for FR1 UEs, including mechanisms</w:t>
            </w:r>
            <w:r>
              <w:rPr>
                <w:iCs/>
                <w:strike/>
                <w:color w:val="FF0000"/>
              </w:rPr>
              <w:t xml:space="preserve"> to enable more configured UL bands than its simultaneous transmission capability and to support dynamic </w:t>
            </w:r>
            <w:proofErr w:type="spellStart"/>
            <w:r>
              <w:rPr>
                <w:iCs/>
                <w:strike/>
                <w:color w:val="FF0000"/>
              </w:rPr>
              <w:t>Tx</w:t>
            </w:r>
            <w:proofErr w:type="spellEnd"/>
            <w:r>
              <w:rPr>
                <w:iCs/>
                <w:strike/>
                <w:color w:val="FF0000"/>
              </w:rPr>
              <w:t xml:space="preserve"> carrier switching across the configured bands (RAN1)]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 xml:space="preserve">[Switching time and other RF aspects for above UL </w:t>
            </w:r>
            <w:proofErr w:type="spellStart"/>
            <w:r>
              <w:rPr>
                <w:iCs/>
                <w:strike/>
                <w:color w:val="FF0000"/>
              </w:rPr>
              <w:t>Tx</w:t>
            </w:r>
            <w:proofErr w:type="spellEnd"/>
            <w:r>
              <w:rPr>
                <w:iCs/>
                <w:strike/>
                <w:color w:val="FF0000"/>
              </w:rPr>
              <w:t xml:space="preserve"> switching schemes across [more than 2] ba</w:t>
            </w:r>
            <w:r>
              <w:rPr>
                <w:iCs/>
                <w:strike/>
                <w:color w:val="FF0000"/>
              </w:rPr>
              <w:t>nds (RAN4)]</w:t>
            </w:r>
          </w:p>
          <w:p w:rsidR="00932C6C" w:rsidRDefault="00932C6C">
            <w:pPr>
              <w:rPr>
                <w:iCs/>
              </w:rPr>
            </w:pPr>
          </w:p>
          <w:p w:rsidR="00932C6C" w:rsidRDefault="00CA0CA8">
            <w:pPr>
              <w:rPr>
                <w:iCs/>
                <w:strike/>
                <w:color w:val="FF0000"/>
                <w:lang w:eastAsia="ja-JP"/>
              </w:rPr>
            </w:pPr>
            <w:r>
              <w:rPr>
                <w:rFonts w:hint="eastAsia"/>
                <w:iCs/>
                <w:strike/>
                <w:color w:val="FF0000"/>
                <w:lang w:eastAsia="ja-JP"/>
              </w:rPr>
              <w:t>A</w:t>
            </w:r>
            <w:r>
              <w:rPr>
                <w:iCs/>
                <w:strike/>
                <w:color w:val="FF0000"/>
                <w:lang w:eastAsia="ja-JP"/>
              </w:rPr>
              <w:t xml:space="preserve">lt.1: </w:t>
            </w:r>
          </w:p>
          <w:p w:rsidR="00932C6C" w:rsidRDefault="00CA0CA8">
            <w:pPr>
              <w:numPr>
                <w:ilvl w:val="0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[Study and if necessary specify following enhancements for DFTS-OFDM (RAN1)]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[Dynamic switching between DFTS-OFDM and CP-OFDM]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[Multi-layer transmission with DFTS-OFDM, with considering LTE design]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rFonts w:hint="eastAsia"/>
                <w:iCs/>
                <w:strike/>
                <w:color w:val="FF0000"/>
                <w:lang w:eastAsia="ja-JP"/>
              </w:rPr>
              <w:t>[</w:t>
            </w:r>
            <w:r>
              <w:rPr>
                <w:iCs/>
                <w:strike/>
                <w:color w:val="FF0000"/>
                <w:lang w:eastAsia="ja-JP"/>
              </w:rPr>
              <w:t>Note: the study targets to select on</w:t>
            </w:r>
            <w:r>
              <w:rPr>
                <w:iCs/>
                <w:strike/>
                <w:color w:val="FF0000"/>
                <w:lang w:eastAsia="ja-JP"/>
              </w:rPr>
              <w:t>ly one of above enhancements, unless necessity to specify both enhancements is justified in the study]</w:t>
            </w:r>
          </w:p>
          <w:p w:rsidR="00932C6C" w:rsidRDefault="00CA0CA8">
            <w:pPr>
              <w:rPr>
                <w:iCs/>
                <w:strike/>
                <w:color w:val="FF0000"/>
                <w:lang w:eastAsia="ja-JP"/>
              </w:rPr>
            </w:pPr>
            <w:r>
              <w:rPr>
                <w:rFonts w:hint="eastAsia"/>
                <w:iCs/>
                <w:strike/>
                <w:color w:val="FF0000"/>
                <w:lang w:eastAsia="ja-JP"/>
              </w:rPr>
              <w:t>A</w:t>
            </w:r>
            <w:r>
              <w:rPr>
                <w:iCs/>
                <w:strike/>
                <w:color w:val="FF0000"/>
                <w:lang w:eastAsia="ja-JP"/>
              </w:rPr>
              <w:t>lt.2:</w:t>
            </w:r>
          </w:p>
          <w:p w:rsidR="00932C6C" w:rsidRDefault="00CA0CA8">
            <w:pPr>
              <w:rPr>
                <w:iCs/>
              </w:rPr>
            </w:pPr>
            <w:r>
              <w:rPr>
                <w:rFonts w:hint="eastAsia"/>
                <w:iCs/>
                <w:color w:val="FF0000"/>
              </w:rPr>
              <w:t xml:space="preserve">3. </w:t>
            </w: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Specify following enhancements for DFTS-OFDM (RAN1)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Dynamic switching between DFTS-OFDM and CP-OFDM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[Study and if justified to support this</w:t>
            </w:r>
            <w:r>
              <w:rPr>
                <w:iCs/>
                <w:strike/>
                <w:color w:val="FF0000"/>
              </w:rPr>
              <w:t xml:space="preserve"> on top of above dynamic switching, specify multi-layer transmission with DFTS-OFDM, with considering LTE design]</w:t>
            </w:r>
          </w:p>
          <w:p w:rsidR="00932C6C" w:rsidRDefault="00932C6C">
            <w:pPr>
              <w:rPr>
                <w:iCs/>
              </w:rPr>
            </w:pPr>
          </w:p>
          <w:p w:rsidR="00932C6C" w:rsidRDefault="00CA0CA8">
            <w:pPr>
              <w:numPr>
                <w:ilvl w:val="0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 xml:space="preserve">[Study and if necessary specify following enhancements for UL dense deployment and/or asymmetric </w:t>
            </w:r>
            <w:proofErr w:type="spellStart"/>
            <w:r>
              <w:rPr>
                <w:iCs/>
                <w:strike/>
                <w:color w:val="FF0000"/>
              </w:rPr>
              <w:t>beamforming</w:t>
            </w:r>
            <w:proofErr w:type="spellEnd"/>
            <w:r>
              <w:rPr>
                <w:iCs/>
                <w:strike/>
                <w:color w:val="FF0000"/>
              </w:rPr>
              <w:t xml:space="preserve"> operation between DL/UL, </w:t>
            </w:r>
            <w:r>
              <w:rPr>
                <w:iCs/>
                <w:strike/>
                <w:color w:val="FF0000"/>
              </w:rPr>
              <w:t>targeting [FR1 and/or FR2] (RAN1)]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[UL power/timing control and UL beam management, with considering UL reception only points, including whether existing mechanisms can work with UL reception only points]</w:t>
            </w:r>
          </w:p>
          <w:p w:rsidR="00932C6C" w:rsidRDefault="00932C6C">
            <w:pPr>
              <w:rPr>
                <w:iCs/>
              </w:rPr>
            </w:pPr>
          </w:p>
          <w:p w:rsidR="00932C6C" w:rsidRDefault="00CA0CA8">
            <w:pPr>
              <w:numPr>
                <w:ilvl w:val="0"/>
                <w:numId w:val="11"/>
              </w:numPr>
              <w:rPr>
                <w:iCs/>
              </w:rPr>
            </w:pPr>
            <w:r>
              <w:rPr>
                <w:iCs/>
                <w:strike/>
                <w:color w:val="FF0000"/>
              </w:rPr>
              <w:t>[</w:t>
            </w:r>
            <w:r>
              <w:rPr>
                <w:iCs/>
              </w:rPr>
              <w:t>Study and if necessary specify following coverage</w:t>
            </w:r>
            <w:r>
              <w:rPr>
                <w:iCs/>
              </w:rPr>
              <w:t xml:space="preserve"> enhancements for PUCCH/UCI (RAN1)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</w:rPr>
            </w:pPr>
            <w:r>
              <w:rPr>
                <w:rFonts w:hint="eastAsia"/>
                <w:iCs/>
                <w:strike/>
                <w:color w:val="FF0000"/>
              </w:rPr>
              <w:t>[</w:t>
            </w:r>
            <w:r>
              <w:rPr>
                <w:iCs/>
              </w:rPr>
              <w:t>DMRS-less PUCCH with UCI payload size from 3 to 11 bits</w:t>
            </w:r>
            <w:r>
              <w:rPr>
                <w:iCs/>
                <w:strike/>
                <w:color w:val="FF0000"/>
              </w:rPr>
              <w:t>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iCs/>
                <w:strike/>
                <w:color w:val="FF0000"/>
              </w:rPr>
            </w:pPr>
            <w:r>
              <w:rPr>
                <w:iCs/>
                <w:strike/>
                <w:color w:val="FF0000"/>
              </w:rPr>
              <w:t>[DFTS-OFDM waveform for short PUCCH with UCI payload size from 3 to 11 bits]</w:t>
            </w:r>
          </w:p>
          <w:p w:rsidR="00932C6C" w:rsidRDefault="00CA0CA8">
            <w:pPr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iCs/>
                <w:strike/>
                <w:color w:val="FF0000"/>
              </w:rPr>
              <w:t>[Repetition of CSI in dynamically indicated PUSCH resources]</w:t>
            </w:r>
          </w:p>
        </w:tc>
      </w:tr>
    </w:tbl>
    <w:p w:rsidR="00932C6C" w:rsidRDefault="00CA0CA8">
      <w:pPr>
        <w:pStyle w:val="1"/>
      </w:pPr>
      <w:r>
        <w:rPr>
          <w:rFonts w:hint="eastAsia"/>
          <w:lang w:val="en-US"/>
        </w:rPr>
        <w:lastRenderedPageBreak/>
        <w:t xml:space="preserve">Reasons for the </w:t>
      </w:r>
      <w:r>
        <w:rPr>
          <w:rFonts w:hint="eastAsia"/>
          <w:lang w:val="en-US"/>
        </w:rPr>
        <w:t>proposed revisions</w:t>
      </w:r>
    </w:p>
    <w:p w:rsidR="00932C6C" w:rsidRDefault="00CA0CA8">
      <w:pPr>
        <w:rPr>
          <w:iCs/>
        </w:rPr>
      </w:pPr>
      <w:r>
        <w:rPr>
          <w:rFonts w:hint="eastAsia"/>
          <w:iCs/>
        </w:rPr>
        <w:t xml:space="preserve">In this section, the detailed reasons of the proposed revisions in section 2 are provided as follows.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 xml:space="preserve"> </w:t>
      </w:r>
      <w:r>
        <w:rPr>
          <w:iCs/>
        </w:rPr>
        <w:t>PRACH coverage enhancements</w:t>
      </w:r>
    </w:p>
    <w:p w:rsidR="00932C6C" w:rsidRDefault="00CA0CA8">
      <w:pPr>
        <w:numPr>
          <w:ilvl w:val="1"/>
          <w:numId w:val="10"/>
        </w:numPr>
        <w:ind w:left="1260"/>
      </w:pPr>
      <w:r>
        <w:rPr>
          <w:rFonts w:hint="eastAsia"/>
          <w:iCs/>
        </w:rPr>
        <w:t xml:space="preserve">As shown in [4], the </w:t>
      </w:r>
      <w:r>
        <w:rPr>
          <w:iCs/>
        </w:rPr>
        <w:t xml:space="preserve">LLS shows about 2 dB gain </w:t>
      </w:r>
      <w:r>
        <w:rPr>
          <w:iCs/>
        </w:rPr>
        <w:t xml:space="preserve">by doubling the </w:t>
      </w:r>
      <w:r>
        <w:rPr>
          <w:rFonts w:hint="eastAsia"/>
          <w:iCs/>
        </w:rPr>
        <w:t>number</w:t>
      </w:r>
      <w:r>
        <w:rPr>
          <w:iCs/>
        </w:rPr>
        <w:t xml:space="preserve"> of PRACH </w:t>
      </w:r>
      <w:r>
        <w:rPr>
          <w:rFonts w:hint="eastAsia"/>
          <w:iCs/>
        </w:rPr>
        <w:t>transmissions with the sam</w:t>
      </w:r>
      <w:r>
        <w:rPr>
          <w:rFonts w:hint="eastAsia"/>
          <w:iCs/>
        </w:rPr>
        <w:t>e beam, and the S</w:t>
      </w:r>
      <w:r>
        <w:rPr>
          <w:iCs/>
        </w:rPr>
        <w:t xml:space="preserve">LS shows about 2.5 dB gain </w:t>
      </w:r>
      <w:r>
        <w:rPr>
          <w:iCs/>
        </w:rPr>
        <w:t xml:space="preserve">by </w:t>
      </w:r>
      <w:r>
        <w:rPr>
          <w:rFonts w:hint="eastAsia"/>
          <w:iCs/>
        </w:rPr>
        <w:t xml:space="preserve">applying </w:t>
      </w:r>
      <w:r>
        <w:rPr>
          <w:iCs/>
        </w:rPr>
        <w:t xml:space="preserve">2 PRACH </w:t>
      </w:r>
      <w:r>
        <w:rPr>
          <w:rFonts w:hint="eastAsia"/>
          <w:iCs/>
        </w:rPr>
        <w:t xml:space="preserve">transmissions with different </w:t>
      </w:r>
      <w:r>
        <w:rPr>
          <w:iCs/>
        </w:rPr>
        <w:t>beam</w:t>
      </w:r>
      <w:r>
        <w:rPr>
          <w:rFonts w:hint="eastAsia"/>
          <w:iCs/>
        </w:rPr>
        <w:t>s. Therefore, multiple PRACH transmissions with the same beam and multiple PRACH transmissions with different beams are both beneficial and should be supported</w:t>
      </w:r>
      <w:r>
        <w:rPr>
          <w:rFonts w:hint="eastAsia"/>
          <w:iCs/>
        </w:rPr>
        <w:t xml:space="preserve">. </w:t>
      </w:r>
    </w:p>
    <w:p w:rsidR="00932C6C" w:rsidRDefault="00CA0CA8">
      <w:pPr>
        <w:numPr>
          <w:ilvl w:val="1"/>
          <w:numId w:val="10"/>
        </w:numPr>
        <w:ind w:left="1260"/>
      </w:pPr>
      <w:r>
        <w:rPr>
          <w:rFonts w:hint="eastAsia"/>
          <w:iCs/>
        </w:rPr>
        <w:t>The reason only PRACH B4 was identified as bottleneck channel is this is the only PRACH format that was evaluated during Rel-17 SI. However, enhancement to short PRACH format C2 is also desirable since it is more suitable for l</w:t>
      </w:r>
      <w:r>
        <w:rPr>
          <w:rFonts w:hint="eastAsia"/>
        </w:rPr>
        <w:t>arger coverage scenario du</w:t>
      </w:r>
      <w:r>
        <w:rPr>
          <w:rFonts w:hint="eastAsia"/>
        </w:rPr>
        <w:t xml:space="preserve">e to larger </w:t>
      </w:r>
      <w:proofErr w:type="spellStart"/>
      <w:r>
        <w:rPr>
          <w:rFonts w:hint="eastAsia"/>
        </w:rPr>
        <w:t>N_gap</w:t>
      </w:r>
      <w:proofErr w:type="spellEnd"/>
      <w:r>
        <w:rPr>
          <w:rFonts w:hint="eastAsia"/>
        </w:rPr>
        <w:t xml:space="preserve"> duration while has worse link budget due to shorter preamble duration. So, we don</w:t>
      </w:r>
      <w:r>
        <w:t>’</w:t>
      </w:r>
      <w:r>
        <w:rPr>
          <w:rFonts w:hint="eastAsia"/>
        </w:rPr>
        <w:t>t think we need to restrict to only PRACH for</w:t>
      </w:r>
      <w:bookmarkStart w:id="3" w:name="_GoBack"/>
      <w:bookmarkEnd w:id="3"/>
      <w:r>
        <w:rPr>
          <w:rFonts w:hint="eastAsia"/>
        </w:rPr>
        <w:t xml:space="preserve">mat B4.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iCs/>
        </w:rPr>
        <w:t xml:space="preserve">For coverage </w:t>
      </w:r>
      <w:r>
        <w:rPr>
          <w:rFonts w:hint="eastAsia"/>
          <w:iCs/>
        </w:rPr>
        <w:t>limited scenario</w:t>
      </w:r>
      <w:r>
        <w:rPr>
          <w:iCs/>
        </w:rPr>
        <w:t xml:space="preserve">, 4-step RACH procedure </w:t>
      </w:r>
      <w:r>
        <w:rPr>
          <w:rFonts w:hint="eastAsia"/>
          <w:iCs/>
        </w:rPr>
        <w:t xml:space="preserve">is typically used and </w:t>
      </w:r>
      <w:r>
        <w:rPr>
          <w:iCs/>
        </w:rPr>
        <w:t xml:space="preserve">should be prioritized.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 xml:space="preserve"> Po</w:t>
      </w:r>
      <w:r>
        <w:rPr>
          <w:rFonts w:hint="eastAsia"/>
          <w:iCs/>
        </w:rPr>
        <w:t>wer domain enhancements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lastRenderedPageBreak/>
        <w:t>M</w:t>
      </w:r>
      <w:r>
        <w:rPr>
          <w:iCs/>
        </w:rPr>
        <w:t>ulti-band capable UE is able to support higher transmission power without RF design changes.</w:t>
      </w:r>
      <w:r>
        <w:rPr>
          <w:rFonts w:hint="eastAsia"/>
          <w:iCs/>
        </w:rPr>
        <w:t xml:space="preserve"> </w:t>
      </w:r>
      <w:r>
        <w:rPr>
          <w:iCs/>
        </w:rPr>
        <w:t>Under current SAR requirement, power aggregation could directly improve UL performance for instant UL transmission</w:t>
      </w:r>
      <w:r>
        <w:rPr>
          <w:rFonts w:hint="eastAsia"/>
          <w:iCs/>
        </w:rPr>
        <w:t xml:space="preserve">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Current </w:t>
      </w:r>
      <w:r>
        <w:rPr>
          <w:iCs/>
        </w:rPr>
        <w:t xml:space="preserve">Rel-17 RAN4 </w:t>
      </w:r>
      <w:r>
        <w:rPr>
          <w:iCs/>
        </w:rPr>
        <w:t>work on “Increasing UE power high limit for CA and DC”</w:t>
      </w:r>
      <w:r>
        <w:rPr>
          <w:rFonts w:hint="eastAsia"/>
          <w:iCs/>
        </w:rPr>
        <w:t xml:space="preserve"> is targeting for the same scenario. The study on potential RAN1 enhancement can </w:t>
      </w:r>
      <w:r>
        <w:rPr>
          <w:iCs/>
        </w:rPr>
        <w:t>start after RAN4 work</w:t>
      </w:r>
      <w:r>
        <w:rPr>
          <w:rFonts w:hint="eastAsia"/>
          <w:iCs/>
        </w:rPr>
        <w:t xml:space="preserve"> to avoid duplicated discussion.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Power aggregation should be applied to CA with </w:t>
      </w:r>
      <w:proofErr w:type="spellStart"/>
      <w:proofErr w:type="gramStart"/>
      <w:r>
        <w:rPr>
          <w:rFonts w:hint="eastAsia"/>
          <w:iCs/>
        </w:rPr>
        <w:t>Tx</w:t>
      </w:r>
      <w:proofErr w:type="spellEnd"/>
      <w:proofErr w:type="gramEnd"/>
      <w:r>
        <w:rPr>
          <w:rFonts w:hint="eastAsia"/>
          <w:iCs/>
        </w:rPr>
        <w:t xml:space="preserve"> switching, which </w:t>
      </w:r>
      <w:r>
        <w:rPr>
          <w:rFonts w:hint="eastAsia"/>
          <w:iCs/>
        </w:rPr>
        <w:t xml:space="preserve">is more suitable for operation in coverage limited scenario with transmission only on one UL carrier.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For MPR/PAR reduction, it expects it can </w:t>
      </w:r>
      <w:r w:rsidRPr="0097596A">
        <w:rPr>
          <w:iCs/>
        </w:rPr>
        <w:t>allow the UE to transmit with higher power</w:t>
      </w:r>
      <w:r w:rsidRPr="0097596A">
        <w:rPr>
          <w:rFonts w:hint="eastAsia"/>
          <w:iCs/>
        </w:rPr>
        <w:t xml:space="preserve"> by </w:t>
      </w:r>
      <w:r w:rsidRPr="0097596A">
        <w:rPr>
          <w:iCs/>
        </w:rPr>
        <w:t>reduc</w:t>
      </w:r>
      <w:r w:rsidRPr="0097596A">
        <w:rPr>
          <w:rFonts w:hint="eastAsia"/>
          <w:iCs/>
        </w:rPr>
        <w:t>ing</w:t>
      </w:r>
      <w:r w:rsidRPr="0097596A">
        <w:rPr>
          <w:iCs/>
        </w:rPr>
        <w:t xml:space="preserve"> the </w:t>
      </w:r>
      <w:r w:rsidRPr="0097596A">
        <w:rPr>
          <w:rFonts w:hint="eastAsia"/>
          <w:iCs/>
        </w:rPr>
        <w:t xml:space="preserve">power </w:t>
      </w:r>
      <w:r w:rsidRPr="0097596A">
        <w:rPr>
          <w:iCs/>
        </w:rPr>
        <w:t>leakage</w:t>
      </w:r>
      <w:r w:rsidRPr="0097596A">
        <w:rPr>
          <w:rFonts w:hint="eastAsia"/>
          <w:iCs/>
        </w:rPr>
        <w:t xml:space="preserve"> </w:t>
      </w:r>
      <w:r w:rsidRPr="0097596A">
        <w:rPr>
          <w:iCs/>
        </w:rPr>
        <w:t>of the waveform</w:t>
      </w:r>
      <w:r w:rsidRPr="0097596A">
        <w:rPr>
          <w:rFonts w:hint="eastAsia"/>
          <w:iCs/>
        </w:rPr>
        <w:t xml:space="preserve">. However, </w:t>
      </w:r>
      <w:r w:rsidRPr="0097596A">
        <w:rPr>
          <w:rFonts w:hint="eastAsia"/>
          <w:iCs/>
        </w:rPr>
        <w:t xml:space="preserve">current scope is a bit too broad and </w:t>
      </w:r>
      <w:r w:rsidRPr="0097596A">
        <w:rPr>
          <w:rFonts w:hint="eastAsia"/>
          <w:iCs/>
        </w:rPr>
        <w:t xml:space="preserve">it is not clear whether the proposed enhancements could provide sufficient gain and whether it is worth the specification effort. We suggest considering </w:t>
      </w:r>
      <w:r w:rsidRPr="0097596A">
        <w:rPr>
          <w:rFonts w:hint="eastAsia"/>
          <w:iCs/>
        </w:rPr>
        <w:t xml:space="preserve">more specific </w:t>
      </w:r>
      <w:r w:rsidRPr="0097596A">
        <w:rPr>
          <w:rFonts w:hint="eastAsia"/>
          <w:iCs/>
        </w:rPr>
        <w:t>enhancements with a study phase led by RAN4.</w:t>
      </w:r>
      <w:r w:rsidRPr="0097596A">
        <w:rPr>
          <w:rFonts w:hint="eastAsia"/>
          <w:iCs/>
        </w:rPr>
        <w:t xml:space="preserve">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 xml:space="preserve"> Enhan</w:t>
      </w:r>
      <w:r>
        <w:rPr>
          <w:rFonts w:hint="eastAsia"/>
          <w:iCs/>
        </w:rPr>
        <w:t>cements for multi-carrier UL operation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In Rel-17, UL </w:t>
      </w:r>
      <w:proofErr w:type="spellStart"/>
      <w:proofErr w:type="gramStart"/>
      <w:r>
        <w:rPr>
          <w:rFonts w:hint="eastAsia"/>
          <w:iCs/>
        </w:rPr>
        <w:t>Tx</w:t>
      </w:r>
      <w:proofErr w:type="spellEnd"/>
      <w:proofErr w:type="gramEnd"/>
      <w:r>
        <w:rPr>
          <w:rFonts w:hint="eastAsia"/>
          <w:iCs/>
        </w:rPr>
        <w:t xml:space="preserve"> switching among up to 3 carriers within 2 bands and fast/efficient </w:t>
      </w:r>
      <w:proofErr w:type="spellStart"/>
      <w:r>
        <w:rPr>
          <w:rFonts w:hint="eastAsia"/>
          <w:iCs/>
        </w:rPr>
        <w:t>Scell</w:t>
      </w:r>
      <w:proofErr w:type="spellEnd"/>
      <w:r>
        <w:rPr>
          <w:rFonts w:hint="eastAsia"/>
          <w:iCs/>
        </w:rPr>
        <w:t xml:space="preserve"> activation are already supported.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Compared to existing solution, the additional performance gain of UL </w:t>
      </w:r>
      <w:proofErr w:type="spellStart"/>
      <w:proofErr w:type="gramStart"/>
      <w:r>
        <w:rPr>
          <w:rFonts w:hint="eastAsia"/>
          <w:iCs/>
        </w:rPr>
        <w:t>Tx</w:t>
      </w:r>
      <w:proofErr w:type="spellEnd"/>
      <w:proofErr w:type="gramEnd"/>
      <w:r>
        <w:rPr>
          <w:rFonts w:hint="eastAsia"/>
          <w:iCs/>
        </w:rPr>
        <w:t xml:space="preserve"> switching among more</w:t>
      </w:r>
      <w:r>
        <w:rPr>
          <w:rFonts w:hint="eastAsia"/>
          <w:iCs/>
        </w:rPr>
        <w:t xml:space="preserve"> than 2 bands may not be attractive, especially considering the potential larger switching time due to the increased complexity at UE side.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If supported, we suggest focusing on UL </w:t>
      </w:r>
      <w:proofErr w:type="spellStart"/>
      <w:proofErr w:type="gramStart"/>
      <w:r>
        <w:rPr>
          <w:rFonts w:hint="eastAsia"/>
          <w:iCs/>
        </w:rPr>
        <w:t>Tx</w:t>
      </w:r>
      <w:proofErr w:type="spellEnd"/>
      <w:proofErr w:type="gramEnd"/>
      <w:r>
        <w:rPr>
          <w:rFonts w:hint="eastAsia"/>
          <w:iCs/>
        </w:rPr>
        <w:t xml:space="preserve"> switching among 3 bands.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 xml:space="preserve"> Enhancements for DFTS-OFDM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>It would be redun</w:t>
      </w:r>
      <w:r>
        <w:rPr>
          <w:rFonts w:hint="eastAsia"/>
          <w:iCs/>
        </w:rPr>
        <w:t>dant to support both 2-layer for DFT-S-OFDM and dynamic switching between OFDM and DFT-S-OFDM.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 If any enhancement is needed here, supporting one of them should be sufficient. In our view, supporting 2-layer for DFT-S-OFDM would cause very large spec impac</w:t>
      </w:r>
      <w:r>
        <w:rPr>
          <w:rFonts w:hint="eastAsia"/>
          <w:iCs/>
        </w:rPr>
        <w:t xml:space="preserve">ts, e.g., define new UL </w:t>
      </w:r>
      <w:proofErr w:type="spellStart"/>
      <w:r>
        <w:rPr>
          <w:rFonts w:hint="eastAsia"/>
          <w:iCs/>
        </w:rPr>
        <w:t>precoder</w:t>
      </w:r>
      <w:proofErr w:type="spellEnd"/>
      <w:r>
        <w:rPr>
          <w:rFonts w:hint="eastAsia"/>
          <w:iCs/>
        </w:rPr>
        <w:t xml:space="preserve"> and new DMRS pattern, whether/how to support 2-port PTRS and association between DMRS port and PTRS port, etc. Therefore, if needed, we suggest to only consider dynamic switching between OFDM and DFT-S-OFDM.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>UL dense deplo</w:t>
      </w:r>
      <w:r>
        <w:rPr>
          <w:rFonts w:hint="eastAsia"/>
          <w:iCs/>
        </w:rPr>
        <w:t xml:space="preserve">yment and/or asymmetric </w:t>
      </w:r>
      <w:proofErr w:type="spellStart"/>
      <w:r>
        <w:rPr>
          <w:rFonts w:hint="eastAsia"/>
          <w:iCs/>
        </w:rPr>
        <w:t>beamforming</w:t>
      </w:r>
      <w:proofErr w:type="spellEnd"/>
      <w:r>
        <w:rPr>
          <w:rFonts w:hint="eastAsia"/>
          <w:iCs/>
        </w:rPr>
        <w:t xml:space="preserve"> operation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  <w:iCs/>
        </w:rPr>
        <w:t xml:space="preserve">It could be potentially beneficial for </w:t>
      </w:r>
      <w:r>
        <w:t>or UL coverage and cap</w:t>
      </w:r>
      <w:r>
        <w:rPr>
          <w:rFonts w:hint="eastAsia"/>
        </w:rPr>
        <w:t xml:space="preserve">acity improvement. </w:t>
      </w:r>
    </w:p>
    <w:p w:rsidR="00932C6C" w:rsidRDefault="00CA0CA8">
      <w:pPr>
        <w:numPr>
          <w:ilvl w:val="1"/>
          <w:numId w:val="10"/>
        </w:numPr>
        <w:ind w:left="1260"/>
        <w:rPr>
          <w:iCs/>
        </w:rPr>
      </w:pPr>
      <w:r>
        <w:rPr>
          <w:rFonts w:hint="eastAsia"/>
        </w:rPr>
        <w:t>However, it is more related MIMO aspects. I</w:t>
      </w:r>
      <w:r>
        <w:rPr>
          <w:iCs/>
        </w:rPr>
        <w:t xml:space="preserve">f justified, this should be included in the potential Rel-18 MIMO WI. </w:t>
      </w:r>
    </w:p>
    <w:p w:rsidR="00932C6C" w:rsidRDefault="00CA0CA8">
      <w:pPr>
        <w:numPr>
          <w:ilvl w:val="0"/>
          <w:numId w:val="12"/>
        </w:numPr>
        <w:ind w:left="840"/>
        <w:rPr>
          <w:iCs/>
        </w:rPr>
      </w:pPr>
      <w:r>
        <w:rPr>
          <w:rFonts w:hint="eastAsia"/>
          <w:iCs/>
        </w:rPr>
        <w:t>Coverage enhanc</w:t>
      </w:r>
      <w:r>
        <w:rPr>
          <w:rFonts w:hint="eastAsia"/>
          <w:iCs/>
        </w:rPr>
        <w:t>ements for PUCCH</w:t>
      </w:r>
    </w:p>
    <w:p w:rsidR="00932C6C" w:rsidRDefault="00CA0CA8">
      <w:pPr>
        <w:numPr>
          <w:ilvl w:val="1"/>
          <w:numId w:val="10"/>
        </w:numPr>
        <w:ind w:left="1260"/>
      </w:pPr>
      <w:r>
        <w:rPr>
          <w:rFonts w:hint="eastAsia"/>
        </w:rPr>
        <w:t xml:space="preserve">For DMRS-less PUCCH, as shown in [4], it can provide 2~2.5 dB SNR gain and about </w:t>
      </w:r>
      <w:r>
        <w:t>2dB CM/PAPR gain</w:t>
      </w:r>
      <w:r>
        <w:rPr>
          <w:rFonts w:hint="eastAsia"/>
        </w:rPr>
        <w:t xml:space="preserve">. If needed, a short study phase can be allocated to justify the performance gain with aligned evaluation assumption. </w:t>
      </w:r>
    </w:p>
    <w:p w:rsidR="00932C6C" w:rsidRDefault="00CA0CA8">
      <w:pPr>
        <w:numPr>
          <w:ilvl w:val="1"/>
          <w:numId w:val="10"/>
        </w:numPr>
        <w:ind w:left="1260"/>
        <w:rPr>
          <w:lang w:val="en-GB"/>
        </w:rPr>
      </w:pPr>
      <w:r>
        <w:rPr>
          <w:rFonts w:hint="eastAsia"/>
        </w:rPr>
        <w:t>Other PUCCH enhancement</w:t>
      </w:r>
      <w:r>
        <w:rPr>
          <w:rFonts w:hint="eastAsia"/>
        </w:rPr>
        <w:t xml:space="preserve">s should be deprioritized due to unclear performance gain and </w:t>
      </w:r>
      <w:r>
        <w:t xml:space="preserve">limited TU allocation. </w:t>
      </w:r>
    </w:p>
    <w:p w:rsidR="00932C6C" w:rsidRDefault="00CA0CA8">
      <w:r>
        <w:rPr>
          <w:rFonts w:hint="eastAsia"/>
        </w:rPr>
        <w:t>Based on above, we have the following proposal.</w:t>
      </w:r>
    </w:p>
    <w:p w:rsidR="00932C6C" w:rsidRDefault="00CA0CA8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Support UL enhancement WID in RP-212702 with revised objective as shown in section 2. </w:t>
      </w:r>
    </w:p>
    <w:p w:rsidR="00932C6C" w:rsidRDefault="00CA0CA8">
      <w:pPr>
        <w:pStyle w:val="1"/>
      </w:pPr>
      <w:r>
        <w:rPr>
          <w:rFonts w:hint="eastAsia"/>
        </w:rPr>
        <w:t>C</w:t>
      </w:r>
      <w:r>
        <w:t>onclusion</w:t>
      </w:r>
    </w:p>
    <w:p w:rsidR="00932C6C" w:rsidRDefault="00CA0CA8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 xml:space="preserve">n this contribution, we provide our views for Rel-18 </w:t>
      </w:r>
      <w:r>
        <w:rPr>
          <w:rFonts w:hint="eastAsia"/>
        </w:rPr>
        <w:t>UL</w:t>
      </w:r>
      <w:r>
        <w:rPr>
          <w:lang w:val="en-GB"/>
        </w:rPr>
        <w:t xml:space="preserve"> enhancements with the following proposal.</w:t>
      </w:r>
    </w:p>
    <w:p w:rsidR="00932C6C" w:rsidRDefault="00CA0CA8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Support UL enhancement WID in RP-212702 with revised objective as shown in section 2. </w:t>
      </w:r>
    </w:p>
    <w:p w:rsidR="00932C6C" w:rsidRDefault="00CA0CA8">
      <w:pPr>
        <w:pStyle w:val="1"/>
      </w:pPr>
      <w:r>
        <w:rPr>
          <w:rFonts w:hint="eastAsia"/>
        </w:rPr>
        <w:t>R</w:t>
      </w:r>
      <w:r>
        <w:t>eference</w:t>
      </w:r>
    </w:p>
    <w:p w:rsidR="00932C6C" w:rsidRDefault="00CA0CA8">
      <w:pPr>
        <w:pStyle w:val="a"/>
        <w:numPr>
          <w:ilvl w:val="0"/>
          <w:numId w:val="13"/>
        </w:numPr>
      </w:pPr>
      <w:r>
        <w:rPr>
          <w:rFonts w:hint="eastAsia"/>
          <w:lang w:val="en-US"/>
        </w:rPr>
        <w:t xml:space="preserve">3GPP RAN#93-e, </w:t>
      </w:r>
      <w:hyperlink r:id="rId13" w:history="1">
        <w:r>
          <w:rPr>
            <w:lang w:val="en-US"/>
          </w:rPr>
          <w:t>RP-211652</w:t>
        </w:r>
      </w:hyperlink>
      <w:r>
        <w:rPr>
          <w:rFonts w:hint="eastAsia"/>
          <w:lang w:val="en-US"/>
        </w:rPr>
        <w:t xml:space="preserve">, </w:t>
      </w:r>
      <w:r>
        <w:rPr>
          <w:lang w:val="en-US"/>
        </w:rPr>
        <w:t>Moderator's summary for discussion [RAN93e-R18Prep-02] UL enhancements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NTT DOCOMO, INC.</w:t>
      </w:r>
    </w:p>
    <w:p w:rsidR="00932C6C" w:rsidRDefault="00CA0CA8">
      <w:pPr>
        <w:pStyle w:val="a"/>
        <w:numPr>
          <w:ilvl w:val="0"/>
          <w:numId w:val="13"/>
        </w:numPr>
        <w:rPr>
          <w:lang w:val="en-US"/>
        </w:rPr>
      </w:pPr>
      <w:r>
        <w:rPr>
          <w:rFonts w:hint="eastAsia"/>
          <w:lang w:val="en-US"/>
        </w:rPr>
        <w:t>3GPP RAN#94-e, RP-212662, Moderator</w:t>
      </w:r>
      <w:proofErr w:type="gramStart"/>
      <w:r>
        <w:rPr>
          <w:rFonts w:hint="eastAsia"/>
          <w:lang w:val="en-US"/>
        </w:rPr>
        <w:t>’</w:t>
      </w:r>
      <w:proofErr w:type="gramEnd"/>
      <w:r>
        <w:rPr>
          <w:rFonts w:hint="eastAsia"/>
          <w:lang w:val="en-US"/>
        </w:rPr>
        <w:t>s summary of discussion [RAN94e-R18Prep-02] UL Enhancements (e.g. cove</w:t>
      </w:r>
      <w:r>
        <w:rPr>
          <w:rFonts w:hint="eastAsia"/>
          <w:lang w:val="en-US"/>
        </w:rPr>
        <w:t>rage enhancements; excluding MIMO), NTT DOCOMO, INC.</w:t>
      </w:r>
    </w:p>
    <w:p w:rsidR="00932C6C" w:rsidRDefault="00CA0CA8">
      <w:pPr>
        <w:pStyle w:val="a"/>
        <w:numPr>
          <w:ilvl w:val="0"/>
          <w:numId w:val="13"/>
        </w:numPr>
        <w:rPr>
          <w:lang w:val="en-US"/>
        </w:rPr>
      </w:pPr>
      <w:r>
        <w:rPr>
          <w:rFonts w:hint="eastAsia"/>
          <w:lang w:val="en-US"/>
        </w:rPr>
        <w:t>3GPP RAN#94-e, RP-212702, New WID on NR UL Enhancements, NTT DOCOMO, INC.</w:t>
      </w:r>
    </w:p>
    <w:p w:rsidR="00932C6C" w:rsidRDefault="00CA0CA8">
      <w:pPr>
        <w:pStyle w:val="a"/>
        <w:numPr>
          <w:ilvl w:val="0"/>
          <w:numId w:val="13"/>
        </w:numPr>
        <w:rPr>
          <w:lang w:val="en-US"/>
        </w:rPr>
      </w:pPr>
      <w:r>
        <w:rPr>
          <w:rFonts w:hint="eastAsia"/>
          <w:lang w:val="en-US"/>
        </w:rPr>
        <w:t xml:space="preserve">3GPP RAN#93-e, RP-212375 Uplink Enhancements for 5G Advanced, ZTE, </w:t>
      </w:r>
      <w:proofErr w:type="spellStart"/>
      <w:r>
        <w:rPr>
          <w:rFonts w:hint="eastAsia"/>
          <w:lang w:val="en-US"/>
        </w:rPr>
        <w:t>Sanechips</w:t>
      </w:r>
      <w:proofErr w:type="spellEnd"/>
      <w:r>
        <w:rPr>
          <w:rFonts w:hint="eastAsia"/>
          <w:lang w:val="en-US"/>
        </w:rPr>
        <w:t xml:space="preserve">. </w:t>
      </w:r>
    </w:p>
    <w:sectPr w:rsidR="00932C6C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CA8" w:rsidRDefault="00CA0CA8">
      <w:r>
        <w:separator/>
      </w:r>
    </w:p>
  </w:endnote>
  <w:endnote w:type="continuationSeparator" w:id="0">
    <w:p w:rsidR="00CA0CA8" w:rsidRDefault="00CA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6C" w:rsidRDefault="00CA0CA8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32C6C" w:rsidRDefault="00932C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6C" w:rsidRDefault="00CA0CA8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97596A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97596A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CA8" w:rsidRDefault="00CA0CA8">
      <w:r>
        <w:separator/>
      </w:r>
    </w:p>
  </w:footnote>
  <w:footnote w:type="continuationSeparator" w:id="0">
    <w:p w:rsidR="00CA0CA8" w:rsidRDefault="00CA0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6C" w:rsidRDefault="00CA0C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DEDF63D"/>
    <w:multiLevelType w:val="multilevel"/>
    <w:tmpl w:val="8DEDF6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523357C"/>
    <w:multiLevelType w:val="multilevel"/>
    <w:tmpl w:val="052335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7FDDFE"/>
    <w:multiLevelType w:val="singleLevel"/>
    <w:tmpl w:val="077FDDFE"/>
    <w:lvl w:ilvl="0">
      <w:start w:val="4"/>
      <w:numFmt w:val="decimal"/>
      <w:suff w:val="space"/>
      <w:lvlText w:val="%1."/>
      <w:lvlJc w:val="left"/>
      <w:rPr>
        <w:rFonts w:hint="default"/>
        <w:color w:val="FF0000"/>
      </w:rPr>
    </w:lvl>
  </w:abstractNum>
  <w:abstractNum w:abstractNumId="3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3747227"/>
    <w:multiLevelType w:val="multilevel"/>
    <w:tmpl w:val="13747227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C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DAB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53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2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60E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53F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8DF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8AE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C6C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596A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A8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5E9F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ED7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CA8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390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686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5E15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73548"/>
    <w:rsid w:val="013C0F52"/>
    <w:rsid w:val="0284643E"/>
    <w:rsid w:val="03196C3B"/>
    <w:rsid w:val="03532C3F"/>
    <w:rsid w:val="03AD114B"/>
    <w:rsid w:val="03B25C4C"/>
    <w:rsid w:val="03F94E83"/>
    <w:rsid w:val="03FC4856"/>
    <w:rsid w:val="043F4608"/>
    <w:rsid w:val="046942AE"/>
    <w:rsid w:val="04ED6BB3"/>
    <w:rsid w:val="05063329"/>
    <w:rsid w:val="054A3BE8"/>
    <w:rsid w:val="056B6146"/>
    <w:rsid w:val="05780B89"/>
    <w:rsid w:val="05B82948"/>
    <w:rsid w:val="05DD0BDD"/>
    <w:rsid w:val="06230747"/>
    <w:rsid w:val="067D4C1C"/>
    <w:rsid w:val="06B127E5"/>
    <w:rsid w:val="06D62E08"/>
    <w:rsid w:val="072F2729"/>
    <w:rsid w:val="07C21FA9"/>
    <w:rsid w:val="07CE004F"/>
    <w:rsid w:val="088B7927"/>
    <w:rsid w:val="08C3766A"/>
    <w:rsid w:val="08CB0272"/>
    <w:rsid w:val="09021A3D"/>
    <w:rsid w:val="090A521B"/>
    <w:rsid w:val="0957797D"/>
    <w:rsid w:val="0972706B"/>
    <w:rsid w:val="09C21BB6"/>
    <w:rsid w:val="09E26CB7"/>
    <w:rsid w:val="0A1B5048"/>
    <w:rsid w:val="0A3B1147"/>
    <w:rsid w:val="0A6A63EB"/>
    <w:rsid w:val="0A867EAB"/>
    <w:rsid w:val="0AFC60B7"/>
    <w:rsid w:val="0B5F7BCC"/>
    <w:rsid w:val="0BAD7041"/>
    <w:rsid w:val="0C0822EF"/>
    <w:rsid w:val="0C6F5654"/>
    <w:rsid w:val="0C870F73"/>
    <w:rsid w:val="0C945D5A"/>
    <w:rsid w:val="0CAA2B35"/>
    <w:rsid w:val="0CE3503A"/>
    <w:rsid w:val="0CF2058C"/>
    <w:rsid w:val="0D132BA9"/>
    <w:rsid w:val="0D570B9C"/>
    <w:rsid w:val="0D660AC2"/>
    <w:rsid w:val="0D672BF6"/>
    <w:rsid w:val="0D7A541B"/>
    <w:rsid w:val="0E120AD5"/>
    <w:rsid w:val="0EB06FFE"/>
    <w:rsid w:val="0EB31B81"/>
    <w:rsid w:val="0EBF304E"/>
    <w:rsid w:val="0EE72C3F"/>
    <w:rsid w:val="0EEB5B74"/>
    <w:rsid w:val="10150A41"/>
    <w:rsid w:val="107B523F"/>
    <w:rsid w:val="10C24DEA"/>
    <w:rsid w:val="10DB5D08"/>
    <w:rsid w:val="11197872"/>
    <w:rsid w:val="11244EB3"/>
    <w:rsid w:val="12477EBA"/>
    <w:rsid w:val="1257267A"/>
    <w:rsid w:val="125C4DE1"/>
    <w:rsid w:val="12A472D8"/>
    <w:rsid w:val="12BB5A63"/>
    <w:rsid w:val="12F62AB7"/>
    <w:rsid w:val="12FE321B"/>
    <w:rsid w:val="130859B8"/>
    <w:rsid w:val="13B5695B"/>
    <w:rsid w:val="141F2191"/>
    <w:rsid w:val="142C1BCF"/>
    <w:rsid w:val="14993DF8"/>
    <w:rsid w:val="150C2A70"/>
    <w:rsid w:val="1575AEB2"/>
    <w:rsid w:val="15940347"/>
    <w:rsid w:val="16223C45"/>
    <w:rsid w:val="164F7F6D"/>
    <w:rsid w:val="165E068A"/>
    <w:rsid w:val="1702D3F2"/>
    <w:rsid w:val="180B072B"/>
    <w:rsid w:val="180C0007"/>
    <w:rsid w:val="182B2A36"/>
    <w:rsid w:val="188D2058"/>
    <w:rsid w:val="18BA7603"/>
    <w:rsid w:val="18FD3F86"/>
    <w:rsid w:val="192B740B"/>
    <w:rsid w:val="19497C62"/>
    <w:rsid w:val="19630D37"/>
    <w:rsid w:val="1A51156B"/>
    <w:rsid w:val="1A514204"/>
    <w:rsid w:val="1A935EB8"/>
    <w:rsid w:val="1AB77E85"/>
    <w:rsid w:val="1B2E5429"/>
    <w:rsid w:val="1B2E6DC7"/>
    <w:rsid w:val="1B5316CE"/>
    <w:rsid w:val="1B5E59D2"/>
    <w:rsid w:val="1BA94907"/>
    <w:rsid w:val="1BE76DDE"/>
    <w:rsid w:val="1C040825"/>
    <w:rsid w:val="1C0E5DBC"/>
    <w:rsid w:val="1C766428"/>
    <w:rsid w:val="1D5E5EB2"/>
    <w:rsid w:val="1D707D1A"/>
    <w:rsid w:val="1DD50930"/>
    <w:rsid w:val="1DF407BB"/>
    <w:rsid w:val="1E38003B"/>
    <w:rsid w:val="1F2457C4"/>
    <w:rsid w:val="1F850095"/>
    <w:rsid w:val="1F894BC5"/>
    <w:rsid w:val="1FAE2228"/>
    <w:rsid w:val="1FB91CD0"/>
    <w:rsid w:val="202E3F68"/>
    <w:rsid w:val="20910CB1"/>
    <w:rsid w:val="20CD42FE"/>
    <w:rsid w:val="21035A99"/>
    <w:rsid w:val="21282288"/>
    <w:rsid w:val="218D1DC4"/>
    <w:rsid w:val="21C15CCD"/>
    <w:rsid w:val="21F51FE5"/>
    <w:rsid w:val="22225C74"/>
    <w:rsid w:val="23680C07"/>
    <w:rsid w:val="237F3318"/>
    <w:rsid w:val="239E142D"/>
    <w:rsid w:val="245870DE"/>
    <w:rsid w:val="247247A7"/>
    <w:rsid w:val="2473146A"/>
    <w:rsid w:val="24761051"/>
    <w:rsid w:val="252B5C82"/>
    <w:rsid w:val="25672A69"/>
    <w:rsid w:val="25843D73"/>
    <w:rsid w:val="25D36249"/>
    <w:rsid w:val="26295C59"/>
    <w:rsid w:val="262C24F0"/>
    <w:rsid w:val="263A6A07"/>
    <w:rsid w:val="263F4A4F"/>
    <w:rsid w:val="26654A93"/>
    <w:rsid w:val="278B0B24"/>
    <w:rsid w:val="27C5366D"/>
    <w:rsid w:val="27DD67CA"/>
    <w:rsid w:val="28690808"/>
    <w:rsid w:val="28A90B9C"/>
    <w:rsid w:val="28B07E55"/>
    <w:rsid w:val="28B54AA2"/>
    <w:rsid w:val="294D6347"/>
    <w:rsid w:val="298D3079"/>
    <w:rsid w:val="299E49BF"/>
    <w:rsid w:val="2A0F0B23"/>
    <w:rsid w:val="2A720077"/>
    <w:rsid w:val="2A8B3843"/>
    <w:rsid w:val="2ABB6449"/>
    <w:rsid w:val="2ABD6521"/>
    <w:rsid w:val="2AFE2B7E"/>
    <w:rsid w:val="2B417DA4"/>
    <w:rsid w:val="2C3B2CCE"/>
    <w:rsid w:val="2C7862A6"/>
    <w:rsid w:val="2C9C5E66"/>
    <w:rsid w:val="2CA42574"/>
    <w:rsid w:val="2CC038FC"/>
    <w:rsid w:val="2D376513"/>
    <w:rsid w:val="2D502442"/>
    <w:rsid w:val="2D795931"/>
    <w:rsid w:val="2DC863F1"/>
    <w:rsid w:val="2E8066B6"/>
    <w:rsid w:val="2E94084D"/>
    <w:rsid w:val="2EB72406"/>
    <w:rsid w:val="2EB942D8"/>
    <w:rsid w:val="2EF7100C"/>
    <w:rsid w:val="2F2367DE"/>
    <w:rsid w:val="2F31535F"/>
    <w:rsid w:val="2F3E5769"/>
    <w:rsid w:val="2F6B1157"/>
    <w:rsid w:val="2FF366D8"/>
    <w:rsid w:val="31542D3B"/>
    <w:rsid w:val="31A276D9"/>
    <w:rsid w:val="3245250B"/>
    <w:rsid w:val="32521735"/>
    <w:rsid w:val="32832752"/>
    <w:rsid w:val="32AF4A4B"/>
    <w:rsid w:val="32D97C55"/>
    <w:rsid w:val="32FE23BF"/>
    <w:rsid w:val="330E6893"/>
    <w:rsid w:val="33AA37F2"/>
    <w:rsid w:val="33DE0CB9"/>
    <w:rsid w:val="340E0F36"/>
    <w:rsid w:val="34457AEF"/>
    <w:rsid w:val="34AE1769"/>
    <w:rsid w:val="3511129D"/>
    <w:rsid w:val="3526273F"/>
    <w:rsid w:val="35333CE1"/>
    <w:rsid w:val="359455FE"/>
    <w:rsid w:val="35F164FB"/>
    <w:rsid w:val="36B6439A"/>
    <w:rsid w:val="36CD07B0"/>
    <w:rsid w:val="36D90A34"/>
    <w:rsid w:val="36E060B4"/>
    <w:rsid w:val="36EB05EF"/>
    <w:rsid w:val="370A4D06"/>
    <w:rsid w:val="373F47FD"/>
    <w:rsid w:val="375C57D7"/>
    <w:rsid w:val="37A11CA8"/>
    <w:rsid w:val="37DD651E"/>
    <w:rsid w:val="384F1E8D"/>
    <w:rsid w:val="389E025A"/>
    <w:rsid w:val="38A114FB"/>
    <w:rsid w:val="38AA082A"/>
    <w:rsid w:val="38AF7030"/>
    <w:rsid w:val="38BA113F"/>
    <w:rsid w:val="39926E21"/>
    <w:rsid w:val="39BD27AD"/>
    <w:rsid w:val="39DE7BC7"/>
    <w:rsid w:val="3A135075"/>
    <w:rsid w:val="3A8424B5"/>
    <w:rsid w:val="3AB31D0C"/>
    <w:rsid w:val="3ACF0882"/>
    <w:rsid w:val="3AE203A5"/>
    <w:rsid w:val="3B060512"/>
    <w:rsid w:val="3B4A3B53"/>
    <w:rsid w:val="3B610A96"/>
    <w:rsid w:val="3BF47021"/>
    <w:rsid w:val="3C003425"/>
    <w:rsid w:val="3C050E3B"/>
    <w:rsid w:val="3C2B06C0"/>
    <w:rsid w:val="3C923082"/>
    <w:rsid w:val="3CAD677D"/>
    <w:rsid w:val="3CEB369A"/>
    <w:rsid w:val="3D0354C7"/>
    <w:rsid w:val="3D7642C9"/>
    <w:rsid w:val="3D7903A2"/>
    <w:rsid w:val="3D845F0B"/>
    <w:rsid w:val="3DDA6D42"/>
    <w:rsid w:val="3E7347F4"/>
    <w:rsid w:val="3EA42DF7"/>
    <w:rsid w:val="3EF83C43"/>
    <w:rsid w:val="3F01664D"/>
    <w:rsid w:val="3F175FC8"/>
    <w:rsid w:val="3F3C0D01"/>
    <w:rsid w:val="3F784188"/>
    <w:rsid w:val="3FB24717"/>
    <w:rsid w:val="3FB96AA7"/>
    <w:rsid w:val="3FD010A5"/>
    <w:rsid w:val="406A4CA9"/>
    <w:rsid w:val="40850DCD"/>
    <w:rsid w:val="411D1AC2"/>
    <w:rsid w:val="412567E8"/>
    <w:rsid w:val="413007D5"/>
    <w:rsid w:val="415A5E2E"/>
    <w:rsid w:val="41AC1D9C"/>
    <w:rsid w:val="4242619A"/>
    <w:rsid w:val="427A5F33"/>
    <w:rsid w:val="42B20782"/>
    <w:rsid w:val="42D56493"/>
    <w:rsid w:val="432367E6"/>
    <w:rsid w:val="437B44D8"/>
    <w:rsid w:val="43935BCD"/>
    <w:rsid w:val="43C106E0"/>
    <w:rsid w:val="43D53771"/>
    <w:rsid w:val="441C2E6C"/>
    <w:rsid w:val="44301CFC"/>
    <w:rsid w:val="4440677A"/>
    <w:rsid w:val="44514FC5"/>
    <w:rsid w:val="44917C93"/>
    <w:rsid w:val="44AF3E4D"/>
    <w:rsid w:val="453538FF"/>
    <w:rsid w:val="45482673"/>
    <w:rsid w:val="46917D49"/>
    <w:rsid w:val="46C81C42"/>
    <w:rsid w:val="46D41E44"/>
    <w:rsid w:val="47067C0D"/>
    <w:rsid w:val="47604E01"/>
    <w:rsid w:val="47AE2F53"/>
    <w:rsid w:val="47D53824"/>
    <w:rsid w:val="48422D33"/>
    <w:rsid w:val="491D105A"/>
    <w:rsid w:val="493A53A3"/>
    <w:rsid w:val="49446ABC"/>
    <w:rsid w:val="496938E0"/>
    <w:rsid w:val="49882B35"/>
    <w:rsid w:val="49B278B5"/>
    <w:rsid w:val="4A247805"/>
    <w:rsid w:val="4A2A1BF5"/>
    <w:rsid w:val="4A547400"/>
    <w:rsid w:val="4A5558EE"/>
    <w:rsid w:val="4B3872E6"/>
    <w:rsid w:val="4B4032B6"/>
    <w:rsid w:val="4B412EF2"/>
    <w:rsid w:val="4BA13D2C"/>
    <w:rsid w:val="4C08412A"/>
    <w:rsid w:val="4C3E334E"/>
    <w:rsid w:val="4CA149AE"/>
    <w:rsid w:val="4D7F7890"/>
    <w:rsid w:val="4DF51404"/>
    <w:rsid w:val="4E1506CC"/>
    <w:rsid w:val="4E5633F4"/>
    <w:rsid w:val="4E7740D9"/>
    <w:rsid w:val="4EAC0AFF"/>
    <w:rsid w:val="4EC2021D"/>
    <w:rsid w:val="50111569"/>
    <w:rsid w:val="505D463D"/>
    <w:rsid w:val="507605B3"/>
    <w:rsid w:val="50BD7025"/>
    <w:rsid w:val="50CC227C"/>
    <w:rsid w:val="50FD13B2"/>
    <w:rsid w:val="512D42BD"/>
    <w:rsid w:val="51496705"/>
    <w:rsid w:val="51537AE9"/>
    <w:rsid w:val="5157519E"/>
    <w:rsid w:val="517E52E2"/>
    <w:rsid w:val="51B47FCA"/>
    <w:rsid w:val="51DB2462"/>
    <w:rsid w:val="51E042B0"/>
    <w:rsid w:val="51E5608C"/>
    <w:rsid w:val="522E21B9"/>
    <w:rsid w:val="523519CB"/>
    <w:rsid w:val="523E2F9F"/>
    <w:rsid w:val="52AE0F82"/>
    <w:rsid w:val="52D52EF2"/>
    <w:rsid w:val="52DA6370"/>
    <w:rsid w:val="52FE30BB"/>
    <w:rsid w:val="536E79E7"/>
    <w:rsid w:val="537A06B0"/>
    <w:rsid w:val="542E72DA"/>
    <w:rsid w:val="54CE2507"/>
    <w:rsid w:val="551014EB"/>
    <w:rsid w:val="55181CD2"/>
    <w:rsid w:val="55804571"/>
    <w:rsid w:val="55C0097C"/>
    <w:rsid w:val="55D01D97"/>
    <w:rsid w:val="55D737C9"/>
    <w:rsid w:val="568F21E8"/>
    <w:rsid w:val="56C007B8"/>
    <w:rsid w:val="57244B18"/>
    <w:rsid w:val="573943AF"/>
    <w:rsid w:val="57AE3DD2"/>
    <w:rsid w:val="57B136A9"/>
    <w:rsid w:val="57EF6871"/>
    <w:rsid w:val="580B462B"/>
    <w:rsid w:val="58240039"/>
    <w:rsid w:val="58A576A1"/>
    <w:rsid w:val="593025E2"/>
    <w:rsid w:val="595A121E"/>
    <w:rsid w:val="59A22391"/>
    <w:rsid w:val="59B139FC"/>
    <w:rsid w:val="59C75644"/>
    <w:rsid w:val="59E30269"/>
    <w:rsid w:val="5A2C4DA5"/>
    <w:rsid w:val="5A585C93"/>
    <w:rsid w:val="5AA54319"/>
    <w:rsid w:val="5AAF3521"/>
    <w:rsid w:val="5AF07FF7"/>
    <w:rsid w:val="5AF422E5"/>
    <w:rsid w:val="5B1B1A6A"/>
    <w:rsid w:val="5B514FC6"/>
    <w:rsid w:val="5BF26431"/>
    <w:rsid w:val="5C04154C"/>
    <w:rsid w:val="5C6C52FE"/>
    <w:rsid w:val="5CF86BAC"/>
    <w:rsid w:val="5DB02D5E"/>
    <w:rsid w:val="5E780DEA"/>
    <w:rsid w:val="5EA11CE3"/>
    <w:rsid w:val="5EF8310F"/>
    <w:rsid w:val="5F631FA8"/>
    <w:rsid w:val="5F776715"/>
    <w:rsid w:val="5FA8440D"/>
    <w:rsid w:val="5FBB09E8"/>
    <w:rsid w:val="5FE440F3"/>
    <w:rsid w:val="60576778"/>
    <w:rsid w:val="60E96A81"/>
    <w:rsid w:val="617427FD"/>
    <w:rsid w:val="62772955"/>
    <w:rsid w:val="62B56ECD"/>
    <w:rsid w:val="63D73204"/>
    <w:rsid w:val="6467004C"/>
    <w:rsid w:val="64BA5BC3"/>
    <w:rsid w:val="65507243"/>
    <w:rsid w:val="65576B9C"/>
    <w:rsid w:val="656027FF"/>
    <w:rsid w:val="65D635D4"/>
    <w:rsid w:val="66457E51"/>
    <w:rsid w:val="666E1A16"/>
    <w:rsid w:val="666F59C0"/>
    <w:rsid w:val="66752A97"/>
    <w:rsid w:val="6680376E"/>
    <w:rsid w:val="66A371A9"/>
    <w:rsid w:val="66CF4644"/>
    <w:rsid w:val="66ED31EA"/>
    <w:rsid w:val="673A0DD9"/>
    <w:rsid w:val="676305ED"/>
    <w:rsid w:val="678F41A1"/>
    <w:rsid w:val="67DF4143"/>
    <w:rsid w:val="6816644B"/>
    <w:rsid w:val="68283096"/>
    <w:rsid w:val="68362B06"/>
    <w:rsid w:val="68973792"/>
    <w:rsid w:val="690221D7"/>
    <w:rsid w:val="691A3243"/>
    <w:rsid w:val="696778F6"/>
    <w:rsid w:val="696A65BE"/>
    <w:rsid w:val="696C42BB"/>
    <w:rsid w:val="697A6510"/>
    <w:rsid w:val="698A6B0F"/>
    <w:rsid w:val="69F41E50"/>
    <w:rsid w:val="6A2E714D"/>
    <w:rsid w:val="6A782EAA"/>
    <w:rsid w:val="6A907363"/>
    <w:rsid w:val="6AB42B93"/>
    <w:rsid w:val="6B051D89"/>
    <w:rsid w:val="6B343EDB"/>
    <w:rsid w:val="6B376D22"/>
    <w:rsid w:val="6B417059"/>
    <w:rsid w:val="6B606FD5"/>
    <w:rsid w:val="6B704279"/>
    <w:rsid w:val="6B8B75BB"/>
    <w:rsid w:val="6B8F1C4F"/>
    <w:rsid w:val="6BAB6B11"/>
    <w:rsid w:val="6C004889"/>
    <w:rsid w:val="6C325BFD"/>
    <w:rsid w:val="6CEC2069"/>
    <w:rsid w:val="6D020EA1"/>
    <w:rsid w:val="6D341B27"/>
    <w:rsid w:val="6DD93057"/>
    <w:rsid w:val="6E0F1211"/>
    <w:rsid w:val="6E6341F7"/>
    <w:rsid w:val="6E825B14"/>
    <w:rsid w:val="6E9441C3"/>
    <w:rsid w:val="6ECA12A3"/>
    <w:rsid w:val="6ED5379A"/>
    <w:rsid w:val="6EFC23B2"/>
    <w:rsid w:val="6FBD0858"/>
    <w:rsid w:val="710F603A"/>
    <w:rsid w:val="713A5882"/>
    <w:rsid w:val="714A30B6"/>
    <w:rsid w:val="714F494F"/>
    <w:rsid w:val="72AC2E18"/>
    <w:rsid w:val="72BE4440"/>
    <w:rsid w:val="72E1752D"/>
    <w:rsid w:val="7327276A"/>
    <w:rsid w:val="73A015C2"/>
    <w:rsid w:val="73A86B3D"/>
    <w:rsid w:val="73A913CF"/>
    <w:rsid w:val="73EB1497"/>
    <w:rsid w:val="74000A47"/>
    <w:rsid w:val="740C2878"/>
    <w:rsid w:val="74885606"/>
    <w:rsid w:val="748C5F19"/>
    <w:rsid w:val="748F156A"/>
    <w:rsid w:val="74F67B77"/>
    <w:rsid w:val="74FE02B8"/>
    <w:rsid w:val="751115BE"/>
    <w:rsid w:val="75740E00"/>
    <w:rsid w:val="763A080C"/>
    <w:rsid w:val="768D152E"/>
    <w:rsid w:val="76EB5B39"/>
    <w:rsid w:val="76FF7590"/>
    <w:rsid w:val="776F4F23"/>
    <w:rsid w:val="78156E78"/>
    <w:rsid w:val="782D5EAF"/>
    <w:rsid w:val="78480D62"/>
    <w:rsid w:val="785E1CD6"/>
    <w:rsid w:val="786302A1"/>
    <w:rsid w:val="789F1175"/>
    <w:rsid w:val="78BA1FE2"/>
    <w:rsid w:val="78E33A49"/>
    <w:rsid w:val="790C06BC"/>
    <w:rsid w:val="7931734A"/>
    <w:rsid w:val="7A235A40"/>
    <w:rsid w:val="7A835347"/>
    <w:rsid w:val="7A91496B"/>
    <w:rsid w:val="7AAA69CB"/>
    <w:rsid w:val="7AC34D5B"/>
    <w:rsid w:val="7ADB38D4"/>
    <w:rsid w:val="7AFA35E8"/>
    <w:rsid w:val="7B311322"/>
    <w:rsid w:val="7BAC761D"/>
    <w:rsid w:val="7BFE18C9"/>
    <w:rsid w:val="7C182A18"/>
    <w:rsid w:val="7D2040E8"/>
    <w:rsid w:val="7D3C435D"/>
    <w:rsid w:val="7DD2691C"/>
    <w:rsid w:val="7E0C51C9"/>
    <w:rsid w:val="7E3563A1"/>
    <w:rsid w:val="7E7C6952"/>
    <w:rsid w:val="7E907410"/>
    <w:rsid w:val="7E9326F9"/>
    <w:rsid w:val="7EE20452"/>
    <w:rsid w:val="7F016B4B"/>
    <w:rsid w:val="7F395D9C"/>
    <w:rsid w:val="7F880A13"/>
    <w:rsid w:val="7FD0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F20F00-EF43-4B95-B130-8D045990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59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97596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97596A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spacing w:after="120"/>
    </w:pPr>
    <w:rPr>
      <w:rFonts w:eastAsia="Calibri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snapToGrid w:val="0"/>
      <w:spacing w:after="60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spacing w:before="60"/>
      <w:jc w:val="left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93e/Docs/RP-21165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819B6484-546E-4395-9C6D-CC1114E3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1319</Words>
  <Characters>7524</Characters>
  <Application>Microsoft Office Word</Application>
  <DocSecurity>0</DocSecurity>
  <Lines>62</Lines>
  <Paragraphs>17</Paragraphs>
  <ScaleCrop>false</ScaleCrop>
  <Company>ZTE Corporation</Company>
  <LinksUpToDate>false</LinksUpToDate>
  <CharactersWithSpaces>8826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13</cp:revision>
  <cp:lastPrinted>2018-04-07T03:05:00Z</cp:lastPrinted>
  <dcterms:created xsi:type="dcterms:W3CDTF">2021-11-03T11:34:00Z</dcterms:created>
  <dcterms:modified xsi:type="dcterms:W3CDTF">2021-11-29T17:49:00Z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